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2E69C" w14:textId="3ABCB11D" w:rsidR="00DA3F0F" w:rsidRPr="00000AF1" w:rsidRDefault="00DA3F0F" w:rsidP="00DA3F0F">
      <w:pPr>
        <w:pStyle w:val="3GPPHeader"/>
        <w:spacing w:after="60"/>
        <w:rPr>
          <w:bCs/>
        </w:rPr>
      </w:pPr>
      <w:r w:rsidRPr="00000AF1">
        <w:rPr>
          <w:bCs/>
        </w:rPr>
        <w:t>3GPP TSG RAN WG1 NR Ad-Hoc</w:t>
      </w:r>
      <w:r w:rsidRPr="00000AF1">
        <w:rPr>
          <w:rFonts w:hint="eastAsia"/>
          <w:bCs/>
        </w:rPr>
        <w:t xml:space="preserve">#2                                       </w:t>
      </w:r>
      <w:r w:rsidRPr="00000AF1">
        <w:rPr>
          <w:bCs/>
        </w:rPr>
        <w:tab/>
        <w:t>R1-1</w:t>
      </w:r>
      <w:r w:rsidRPr="00000AF1">
        <w:rPr>
          <w:rFonts w:hint="eastAsia"/>
          <w:bCs/>
        </w:rPr>
        <w:t>7</w:t>
      </w:r>
      <w:r w:rsidR="00C90066">
        <w:rPr>
          <w:bCs/>
        </w:rPr>
        <w:t>11367</w:t>
      </w:r>
    </w:p>
    <w:p w14:paraId="5525A811" w14:textId="77777777" w:rsidR="00DA3F0F" w:rsidRPr="007B78FE" w:rsidRDefault="00DA3F0F" w:rsidP="00DA3F0F">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767CDFC3" w:rsidR="00F75F68" w:rsidRDefault="00FE5799" w:rsidP="00F86630">
      <w:pPr>
        <w:pStyle w:val="Header"/>
        <w:tabs>
          <w:tab w:val="clear" w:pos="4536"/>
          <w:tab w:val="left" w:pos="1800"/>
        </w:tabs>
      </w:pPr>
      <w:r w:rsidRPr="0003368D">
        <w:t>Title:</w:t>
      </w:r>
      <w:bookmarkStart w:id="0" w:name="Title"/>
      <w:bookmarkEnd w:id="0"/>
      <w:r w:rsidRPr="0003368D">
        <w:tab/>
      </w:r>
      <w:r w:rsidR="002C2D71">
        <w:t xml:space="preserve">On </w:t>
      </w:r>
      <w:r w:rsidR="0010601F">
        <w:t>UE processing time and scheduling complexity</w:t>
      </w:r>
    </w:p>
    <w:p w14:paraId="36627550" w14:textId="11640A29" w:rsidR="008B062D" w:rsidRPr="008B062D" w:rsidRDefault="00FE5799" w:rsidP="00F86630">
      <w:pPr>
        <w:pStyle w:val="Header"/>
        <w:tabs>
          <w:tab w:val="clear" w:pos="4536"/>
          <w:tab w:val="left" w:pos="1800"/>
        </w:tabs>
        <w:rPr>
          <w:color w:val="FF0000"/>
        </w:rPr>
      </w:pPr>
      <w:r w:rsidRPr="00E220C0">
        <w:t xml:space="preserve">Agenda </w:t>
      </w:r>
      <w:r w:rsidRPr="00553681">
        <w:t>Item:</w:t>
      </w:r>
      <w:bookmarkStart w:id="1" w:name="Source"/>
      <w:bookmarkEnd w:id="1"/>
      <w:r w:rsidRPr="00553681">
        <w:tab/>
      </w:r>
      <w:r w:rsidR="00DA3F0F">
        <w:t>5.1.3.3.9</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53C4399B" w:rsidR="0056282E" w:rsidRDefault="00377FE8" w:rsidP="00B127E7">
      <w:pPr>
        <w:pStyle w:val="Heading1"/>
      </w:pPr>
      <w:r>
        <w:t>Introduction</w:t>
      </w:r>
    </w:p>
    <w:p w14:paraId="1DA24218" w14:textId="3577423D" w:rsidR="00A457E4" w:rsidRDefault="00A457E4" w:rsidP="00A457E4">
      <w:pPr>
        <w:pStyle w:val="BodyText"/>
      </w:pPr>
      <w:r>
        <w:t xml:space="preserve">At RAN1#89, the minimum UE processing time was discussed, </w:t>
      </w:r>
      <w:proofErr w:type="gramStart"/>
      <w:r>
        <w:t>in particular K1</w:t>
      </w:r>
      <w:proofErr w:type="gramEnd"/>
      <w:r>
        <w:t xml:space="preserve"> and K2:</w:t>
      </w:r>
    </w:p>
    <w:p w14:paraId="64393D18" w14:textId="76BEFF76" w:rsidR="00A457E4" w:rsidRPr="00A457E4" w:rsidRDefault="00A457E4" w:rsidP="00A457E4">
      <w:pPr>
        <w:pStyle w:val="BodyText"/>
        <w:numPr>
          <w:ilvl w:val="0"/>
          <w:numId w:val="48"/>
        </w:numPr>
      </w:pPr>
      <w:r w:rsidRPr="00A457E4">
        <w:t>K1: Delay between DL data (PDSCH) reception and corresponding acknowledgement transmission on UL</w:t>
      </w:r>
    </w:p>
    <w:p w14:paraId="5BB173C5" w14:textId="77777777" w:rsidR="00A457E4" w:rsidRDefault="00A457E4" w:rsidP="00A457E4">
      <w:pPr>
        <w:pStyle w:val="BodyText"/>
        <w:numPr>
          <w:ilvl w:val="0"/>
          <w:numId w:val="48"/>
        </w:numPr>
      </w:pPr>
      <w:r w:rsidRPr="00A457E4">
        <w:t>K2: Delay between UL grant reception in DL and UL data (PUSCH) transmission</w:t>
      </w:r>
    </w:p>
    <w:p w14:paraId="5A010C17" w14:textId="49575C97" w:rsidR="00A457E4" w:rsidRDefault="00A457E4" w:rsidP="00A457E4">
      <w:pPr>
        <w:pStyle w:val="BodyText"/>
      </w:pPr>
      <w:r>
        <w:t>Both K1 and K2 has so far been measured in slots although a</w:t>
      </w:r>
      <w:r w:rsidR="00000CBB">
        <w:t xml:space="preserve"> measure in the</w:t>
      </w:r>
      <w:r>
        <w:t xml:space="preserve"> number of OFDM symbols </w:t>
      </w:r>
      <w:r w:rsidR="00C90066">
        <w:t>is</w:t>
      </w:r>
      <w:r>
        <w:t xml:space="preserve"> more appropriate.</w:t>
      </w:r>
      <w:r w:rsidRPr="00A457E4">
        <w:t xml:space="preserve"> </w:t>
      </w:r>
      <w:r w:rsidR="00C90066">
        <w:t xml:space="preserve">However, in this paper we </w:t>
      </w:r>
    </w:p>
    <w:p w14:paraId="29F93991" w14:textId="579F5939" w:rsidR="00A457E4" w:rsidRDefault="00A457E4" w:rsidP="00A457E4">
      <w:pPr>
        <w:pStyle w:val="BodyText"/>
      </w:pPr>
      <w:r>
        <w:t>It has been agreed that the specification should support K1=0 and K2=0 while the mandatory value to support by all UEs is still under discussion. In this contribution we provide some observations on the scheduler complexity if multiple values of K1 and K2 are supported.</w:t>
      </w:r>
    </w:p>
    <w:p w14:paraId="172EBABF" w14:textId="4981A663" w:rsidR="00A457E4" w:rsidRDefault="00766D17" w:rsidP="00A457E4">
      <w:pPr>
        <w:pStyle w:val="Heading1"/>
      </w:pPr>
      <w:r>
        <w:t>Discussion</w:t>
      </w:r>
    </w:p>
    <w:p w14:paraId="0DD904C7" w14:textId="4AD1F333" w:rsidR="00766D17" w:rsidRDefault="00766D17" w:rsidP="00766D17">
      <w:pPr>
        <w:pStyle w:val="BodyText"/>
      </w:pPr>
      <w:r>
        <w:t>From a scheduling perspective, it is preferable if all Rel-15 UEs support K1=0 and K2=0. If multiple values are supported as part of UE capabilities, scheduling complexity increases</w:t>
      </w:r>
      <w:r w:rsidR="00C90066">
        <w:t xml:space="preserve"> (“</w:t>
      </w:r>
      <w:proofErr w:type="spellStart"/>
      <w:r w:rsidR="00C90066">
        <w:t>tetris</w:t>
      </w:r>
      <w:proofErr w:type="spellEnd"/>
      <w:r w:rsidR="00C90066">
        <w:t xml:space="preserve"> game”)</w:t>
      </w:r>
      <w:r>
        <w:t xml:space="preserve"> and the overall system efficiency may decrease</w:t>
      </w:r>
      <w:r w:rsidR="00C90066">
        <w:t>. Two examples hereof are given below.</w:t>
      </w:r>
      <w:bookmarkStart w:id="3" w:name="_GoBack"/>
      <w:bookmarkEnd w:id="3"/>
    </w:p>
    <w:p w14:paraId="234AA46B" w14:textId="0B5C982C" w:rsidR="00766D17" w:rsidRDefault="00000CBB" w:rsidP="00766D17">
      <w:pPr>
        <w:pStyle w:val="BodyText"/>
      </w:pPr>
      <w:r>
        <w:t xml:space="preserve">Consider two terminals. UE A is “fast” and supports K1=0, K2=0 while UE B is “slow” and supports K1=1, K2=1 only. </w:t>
      </w:r>
      <w:r w:rsidR="00766D17">
        <w:t xml:space="preserve">In case of uplink MU-MIMO, two or more UEs are grouped together based on their channel properties and jointly scheduled. </w:t>
      </w:r>
      <w:r>
        <w:t>Both</w:t>
      </w:r>
      <w:r w:rsidR="00766D17">
        <w:t xml:space="preserve"> </w:t>
      </w:r>
      <w:r>
        <w:t>the</w:t>
      </w:r>
      <w:r w:rsidR="00766D17">
        <w:t xml:space="preserve"> scheduling decision as such and the actual transmission </w:t>
      </w:r>
      <w:r w:rsidR="00621866">
        <w:t>must</w:t>
      </w:r>
      <w:r w:rsidR="00766D17">
        <w:t xml:space="preserve"> take place at the same time, which in practice implies that the scheduler follows the timing for the slowest UE</w:t>
      </w:r>
      <w:r>
        <w:t xml:space="preserve">, see </w:t>
      </w:r>
      <w:r>
        <w:fldChar w:fldCharType="begin"/>
      </w:r>
      <w:r>
        <w:instrText xml:space="preserve"> REF _Ref485392874 \h </w:instrText>
      </w:r>
      <w:r>
        <w:fldChar w:fldCharType="separate"/>
      </w:r>
      <w:r>
        <w:t xml:space="preserve">Figure </w:t>
      </w:r>
      <w:r>
        <w:rPr>
          <w:noProof/>
        </w:rPr>
        <w:t>1</w:t>
      </w:r>
      <w:r>
        <w:fldChar w:fldCharType="end"/>
      </w:r>
      <w:r w:rsidR="00766D17">
        <w:t xml:space="preserve">. A similar argumentation can be made </w:t>
      </w:r>
      <w:r>
        <w:t>for</w:t>
      </w:r>
      <w:r w:rsidR="00766D17">
        <w:t xml:space="preserve"> plain FDM of two terminals. For the best performance, terminals transmitting at the same time should have their scheduling decision taken at the same time, at least at high loads. Having multiple grant-to-data timings (K2) implies this is not possible, thereby degrading overall network performance as well as resulting in a “</w:t>
      </w:r>
      <w:proofErr w:type="spellStart"/>
      <w:r w:rsidR="00766D17">
        <w:t>tetris</w:t>
      </w:r>
      <w:proofErr w:type="spellEnd"/>
      <w:r w:rsidR="00766D17">
        <w:t>” problem in the scheduler.</w:t>
      </w:r>
    </w:p>
    <w:p w14:paraId="6250A211" w14:textId="77777777" w:rsidR="00000CBB" w:rsidRDefault="00000CBB" w:rsidP="00000CBB">
      <w:pPr>
        <w:pStyle w:val="BodyText"/>
        <w:keepNext/>
      </w:pPr>
      <w:r w:rsidRPr="00000CBB">
        <w:rPr>
          <w:noProof/>
        </w:rPr>
        <w:drawing>
          <wp:inline distT="0" distB="0" distL="0" distR="0" wp14:anchorId="7CCC27C9" wp14:editId="04740C66">
            <wp:extent cx="5760720" cy="1570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570513"/>
                    </a:xfrm>
                    <a:prstGeom prst="rect">
                      <a:avLst/>
                    </a:prstGeom>
                    <a:noFill/>
                    <a:ln>
                      <a:noFill/>
                    </a:ln>
                  </pic:spPr>
                </pic:pic>
              </a:graphicData>
            </a:graphic>
          </wp:inline>
        </w:drawing>
      </w:r>
    </w:p>
    <w:p w14:paraId="5578E132" w14:textId="61071599" w:rsidR="00000CBB" w:rsidRDefault="00000CBB" w:rsidP="00000CBB">
      <w:pPr>
        <w:pStyle w:val="Caption"/>
        <w:jc w:val="both"/>
      </w:pPr>
      <w:bookmarkStart w:id="4" w:name="_Ref485392874"/>
      <w:r>
        <w:t xml:space="preserve">Figure </w:t>
      </w:r>
      <w:r>
        <w:fldChar w:fldCharType="begin"/>
      </w:r>
      <w:r>
        <w:instrText xml:space="preserve"> SEQ Figure \* ARABIC </w:instrText>
      </w:r>
      <w:r>
        <w:fldChar w:fldCharType="separate"/>
      </w:r>
      <w:r>
        <w:rPr>
          <w:noProof/>
        </w:rPr>
        <w:t>1</w:t>
      </w:r>
      <w:r>
        <w:fldChar w:fldCharType="end"/>
      </w:r>
      <w:bookmarkEnd w:id="4"/>
      <w:r>
        <w:t xml:space="preserve">: </w:t>
      </w:r>
      <w:proofErr w:type="gramStart"/>
      <w:r>
        <w:t>The performance of UE A is dictated by the capabilities</w:t>
      </w:r>
      <w:proofErr w:type="gramEnd"/>
      <w:r>
        <w:t xml:space="preserve"> of the slowest UE.</w:t>
      </w:r>
    </w:p>
    <w:p w14:paraId="65F2C497" w14:textId="5784976B" w:rsidR="00621866" w:rsidRDefault="00766D17" w:rsidP="00766D17">
      <w:pPr>
        <w:pStyle w:val="BodyText"/>
      </w:pPr>
      <w:r>
        <w:t>As another example, consider uplink retransmissions in TDD</w:t>
      </w:r>
      <w:r w:rsidR="00621866">
        <w:t xml:space="preserve"> with a semi-static allocation (e.g. for interference reasons between cells)</w:t>
      </w:r>
      <w:r>
        <w:t xml:space="preserve">. The optimal TDD </w:t>
      </w:r>
      <w:r w:rsidR="00621866">
        <w:t>allocation</w:t>
      </w:r>
      <w:r>
        <w:t xml:space="preserve">, which </w:t>
      </w:r>
      <w:r w:rsidR="00621866">
        <w:t xml:space="preserve">must be the same for all UEs in a cell, depends on the grant-to-data delay. At the top of </w:t>
      </w:r>
      <w:r w:rsidR="00621866">
        <w:fldChar w:fldCharType="begin"/>
      </w:r>
      <w:r w:rsidR="00621866">
        <w:instrText xml:space="preserve"> REF _Ref485392195 \h </w:instrText>
      </w:r>
      <w:r w:rsidR="00621866">
        <w:fldChar w:fldCharType="separate"/>
      </w:r>
      <w:r w:rsidR="00621866">
        <w:t xml:space="preserve">Figure </w:t>
      </w:r>
      <w:r w:rsidR="00621866">
        <w:rPr>
          <w:noProof/>
        </w:rPr>
        <w:t>1</w:t>
      </w:r>
      <w:r w:rsidR="00621866">
        <w:fldChar w:fldCharType="end"/>
      </w:r>
      <w:r w:rsidR="00621866">
        <w:t xml:space="preserve">, the allocation is designed for UEs with K2=1 in which case UEs with K2=2 will have an extra delay of three slots as they cannot exploit the first uplink occasion after the grant transmission. If the allocation instead is optimized for UEs with K2=2 (bottom of </w:t>
      </w:r>
      <w:r w:rsidR="00621866">
        <w:fldChar w:fldCharType="begin"/>
      </w:r>
      <w:r w:rsidR="00621866">
        <w:instrText xml:space="preserve"> REF _Ref485392195 \h </w:instrText>
      </w:r>
      <w:r w:rsidR="00621866">
        <w:fldChar w:fldCharType="separate"/>
      </w:r>
      <w:r w:rsidR="00621866">
        <w:t xml:space="preserve">Figure </w:t>
      </w:r>
      <w:r w:rsidR="00621866">
        <w:rPr>
          <w:noProof/>
        </w:rPr>
        <w:t>1</w:t>
      </w:r>
      <w:r w:rsidR="00621866">
        <w:fldChar w:fldCharType="end"/>
      </w:r>
      <w:r w:rsidR="00621866">
        <w:t>), the UE with K2=1 will not get any performance advantage.</w:t>
      </w:r>
    </w:p>
    <w:p w14:paraId="024297FF" w14:textId="77777777" w:rsidR="00621866" w:rsidRDefault="00621866" w:rsidP="00621866">
      <w:pPr>
        <w:pStyle w:val="BodyText"/>
        <w:keepNext/>
      </w:pPr>
      <w:r w:rsidRPr="00621866">
        <w:rPr>
          <w:noProof/>
        </w:rPr>
        <w:lastRenderedPageBreak/>
        <w:drawing>
          <wp:inline distT="0" distB="0" distL="0" distR="0" wp14:anchorId="28B2C4FB" wp14:editId="0DCD4358">
            <wp:extent cx="5760720" cy="209166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091664"/>
                    </a:xfrm>
                    <a:prstGeom prst="rect">
                      <a:avLst/>
                    </a:prstGeom>
                    <a:noFill/>
                    <a:ln>
                      <a:noFill/>
                    </a:ln>
                  </pic:spPr>
                </pic:pic>
              </a:graphicData>
            </a:graphic>
          </wp:inline>
        </w:drawing>
      </w:r>
    </w:p>
    <w:p w14:paraId="0D49538A" w14:textId="3C82A547" w:rsidR="00621866" w:rsidRDefault="00621866" w:rsidP="00621866">
      <w:pPr>
        <w:pStyle w:val="Caption"/>
        <w:jc w:val="both"/>
      </w:pPr>
      <w:bookmarkStart w:id="5" w:name="_Ref485392195"/>
      <w:r>
        <w:t xml:space="preserve">Figure </w:t>
      </w:r>
      <w:r>
        <w:fldChar w:fldCharType="begin"/>
      </w:r>
      <w:r>
        <w:instrText xml:space="preserve"> SEQ Figure \* ARABIC </w:instrText>
      </w:r>
      <w:r>
        <w:fldChar w:fldCharType="separate"/>
      </w:r>
      <w:r w:rsidR="00000CBB">
        <w:rPr>
          <w:noProof/>
        </w:rPr>
        <w:t>2</w:t>
      </w:r>
      <w:r>
        <w:fldChar w:fldCharType="end"/>
      </w:r>
      <w:bookmarkEnd w:id="5"/>
      <w:r>
        <w:t>: Retransmission delay for different UEs and UL/DL allocations.</w:t>
      </w:r>
    </w:p>
    <w:p w14:paraId="42D2EDC6" w14:textId="0C81ED03" w:rsidR="00621866" w:rsidRDefault="00621866" w:rsidP="00621866">
      <w:pPr>
        <w:pStyle w:val="Heading1"/>
      </w:pPr>
      <w:r>
        <w:t>Conclusion</w:t>
      </w:r>
    </w:p>
    <w:p w14:paraId="6F6E43FC" w14:textId="35B0D707" w:rsidR="00621866" w:rsidRPr="00621866" w:rsidRDefault="00621866" w:rsidP="00621866">
      <w:pPr>
        <w:pStyle w:val="BodyText"/>
      </w:pPr>
      <w:r>
        <w:t xml:space="preserve">The number of different values of data-to-acknowledgement (K1) and grant-to-transmission (K2) should be minimized to maintain a good overall system performance and a reasonable scheduler complexity. </w:t>
      </w:r>
      <w:r w:rsidR="00C90066">
        <w:t xml:space="preserve">Specification support for </w:t>
      </w:r>
      <w:r>
        <w:t xml:space="preserve">K1=0 and K2=0 </w:t>
      </w:r>
      <w:r w:rsidR="00C90066">
        <w:t>has been agreed and it is proposed to make this mandatory.</w:t>
      </w:r>
    </w:p>
    <w:sectPr w:rsidR="00621866" w:rsidRPr="0062186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B032" w14:textId="77777777" w:rsidR="002F0667" w:rsidRDefault="002F0667">
      <w:r>
        <w:separator/>
      </w:r>
    </w:p>
  </w:endnote>
  <w:endnote w:type="continuationSeparator" w:id="0">
    <w:p w14:paraId="7E31A5C7" w14:textId="77777777" w:rsidR="002F0667" w:rsidRDefault="002F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05BD6" w14:textId="77777777" w:rsidR="002F0667" w:rsidRDefault="002F0667">
      <w:r>
        <w:separator/>
      </w:r>
    </w:p>
  </w:footnote>
  <w:footnote w:type="continuationSeparator" w:id="0">
    <w:p w14:paraId="6DB71D1A" w14:textId="77777777" w:rsidR="002F0667" w:rsidRDefault="002F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691662" w:rsidRDefault="00691662" w:rsidP="00E4295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97606"/>
    <w:multiLevelType w:val="hybridMultilevel"/>
    <w:tmpl w:val="1C58C826"/>
    <w:lvl w:ilvl="0" w:tplc="C186B48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67041"/>
    <w:multiLevelType w:val="hybridMultilevel"/>
    <w:tmpl w:val="F3885BD8"/>
    <w:lvl w:ilvl="0" w:tplc="8C5AD3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5B4EFC"/>
    <w:multiLevelType w:val="hybridMultilevel"/>
    <w:tmpl w:val="8130A08E"/>
    <w:lvl w:ilvl="0" w:tplc="D5BC4536">
      <w:start w:val="400"/>
      <w:numFmt w:val="bullet"/>
      <w:lvlText w:val="-"/>
      <w:lvlJc w:val="left"/>
      <w:pPr>
        <w:ind w:left="720" w:hanging="360"/>
      </w:pPr>
      <w:rPr>
        <w:rFonts w:ascii="Times New Roman" w:eastAsia="MS Mincho"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34C21"/>
    <w:multiLevelType w:val="hybridMultilevel"/>
    <w:tmpl w:val="9E189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81548C"/>
    <w:multiLevelType w:val="hybridMultilevel"/>
    <w:tmpl w:val="2DB6111A"/>
    <w:lvl w:ilvl="0" w:tplc="A33CB45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C24B14"/>
    <w:multiLevelType w:val="hybridMultilevel"/>
    <w:tmpl w:val="4168AE6E"/>
    <w:lvl w:ilvl="0" w:tplc="E2903F06">
      <w:start w:val="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47EAD"/>
    <w:multiLevelType w:val="hybridMultilevel"/>
    <w:tmpl w:val="0AE8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611A6"/>
    <w:multiLevelType w:val="hybridMultilevel"/>
    <w:tmpl w:val="13EEDF64"/>
    <w:lvl w:ilvl="0" w:tplc="5D7A778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D7C43"/>
    <w:multiLevelType w:val="hybridMultilevel"/>
    <w:tmpl w:val="2C44AF6E"/>
    <w:lvl w:ilvl="0" w:tplc="EE468E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F21BF"/>
    <w:multiLevelType w:val="hybridMultilevel"/>
    <w:tmpl w:val="E312BCF4"/>
    <w:lvl w:ilvl="0" w:tplc="19460A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C65062"/>
    <w:multiLevelType w:val="hybridMultilevel"/>
    <w:tmpl w:val="BC94F59A"/>
    <w:lvl w:ilvl="0" w:tplc="EC86876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E2F61"/>
    <w:multiLevelType w:val="hybridMultilevel"/>
    <w:tmpl w:val="D3AAD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3B414CE"/>
    <w:multiLevelType w:val="hybridMultilevel"/>
    <w:tmpl w:val="DBF2546E"/>
    <w:lvl w:ilvl="0" w:tplc="B8EA9384">
      <w:start w:val="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D2936"/>
    <w:multiLevelType w:val="hybridMultilevel"/>
    <w:tmpl w:val="656E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5"/>
  </w:num>
  <w:num w:numId="3">
    <w:abstractNumId w:val="8"/>
  </w:num>
  <w:num w:numId="4">
    <w:abstractNumId w:val="19"/>
  </w:num>
  <w:num w:numId="5">
    <w:abstractNumId w:val="11"/>
  </w:num>
  <w:num w:numId="6">
    <w:abstractNumId w:val="6"/>
  </w:num>
  <w:num w:numId="7">
    <w:abstractNumId w:val="37"/>
  </w:num>
  <w:num w:numId="8">
    <w:abstractNumId w:val="44"/>
  </w:num>
  <w:num w:numId="9">
    <w:abstractNumId w:val="44"/>
  </w:num>
  <w:num w:numId="10">
    <w:abstractNumId w:val="40"/>
  </w:num>
  <w:num w:numId="11">
    <w:abstractNumId w:val="44"/>
  </w:num>
  <w:num w:numId="12">
    <w:abstractNumId w:val="36"/>
  </w:num>
  <w:num w:numId="13">
    <w:abstractNumId w:val="5"/>
  </w:num>
  <w:num w:numId="14">
    <w:abstractNumId w:val="7"/>
  </w:num>
  <w:num w:numId="15">
    <w:abstractNumId w:val="20"/>
  </w:num>
  <w:num w:numId="16">
    <w:abstractNumId w:val="4"/>
  </w:num>
  <w:num w:numId="17">
    <w:abstractNumId w:val="14"/>
  </w:num>
  <w:num w:numId="18">
    <w:abstractNumId w:val="26"/>
  </w:num>
  <w:num w:numId="19">
    <w:abstractNumId w:val="9"/>
  </w:num>
  <w:num w:numId="20">
    <w:abstractNumId w:val="12"/>
  </w:num>
  <w:num w:numId="21">
    <w:abstractNumId w:val="3"/>
  </w:num>
  <w:num w:numId="22">
    <w:abstractNumId w:val="16"/>
  </w:num>
  <w:num w:numId="23">
    <w:abstractNumId w:val="0"/>
  </w:num>
  <w:num w:numId="24">
    <w:abstractNumId w:val="42"/>
  </w:num>
  <w:num w:numId="25">
    <w:abstractNumId w:val="34"/>
  </w:num>
  <w:num w:numId="26">
    <w:abstractNumId w:val="18"/>
  </w:num>
  <w:num w:numId="27">
    <w:abstractNumId w:val="21"/>
  </w:num>
  <w:num w:numId="28">
    <w:abstractNumId w:val="30"/>
  </w:num>
  <w:num w:numId="29">
    <w:abstractNumId w:val="1"/>
  </w:num>
  <w:num w:numId="30">
    <w:abstractNumId w:val="10"/>
  </w:num>
  <w:num w:numId="31">
    <w:abstractNumId w:val="33"/>
  </w:num>
  <w:num w:numId="32">
    <w:abstractNumId w:val="22"/>
  </w:num>
  <w:num w:numId="33">
    <w:abstractNumId w:val="28"/>
  </w:num>
  <w:num w:numId="34">
    <w:abstractNumId w:val="41"/>
  </w:num>
  <w:num w:numId="35">
    <w:abstractNumId w:val="13"/>
  </w:num>
  <w:num w:numId="36">
    <w:abstractNumId w:val="39"/>
  </w:num>
  <w:num w:numId="37">
    <w:abstractNumId w:val="32"/>
  </w:num>
  <w:num w:numId="38">
    <w:abstractNumId w:val="38"/>
  </w:num>
  <w:num w:numId="39">
    <w:abstractNumId w:val="25"/>
  </w:num>
  <w:num w:numId="40">
    <w:abstractNumId w:val="23"/>
  </w:num>
  <w:num w:numId="41">
    <w:abstractNumId w:val="2"/>
  </w:num>
  <w:num w:numId="42">
    <w:abstractNumId w:val="31"/>
  </w:num>
  <w:num w:numId="43">
    <w:abstractNumId w:val="24"/>
  </w:num>
  <w:num w:numId="44">
    <w:abstractNumId w:val="35"/>
  </w:num>
  <w:num w:numId="45">
    <w:abstractNumId w:val="27"/>
  </w:num>
  <w:num w:numId="46">
    <w:abstractNumId w:val="43"/>
  </w:num>
  <w:num w:numId="47">
    <w:abstractNumId w:val="17"/>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CBB"/>
    <w:rsid w:val="000217F8"/>
    <w:rsid w:val="00022647"/>
    <w:rsid w:val="00037C51"/>
    <w:rsid w:val="0004251E"/>
    <w:rsid w:val="00043195"/>
    <w:rsid w:val="000613D3"/>
    <w:rsid w:val="000757AA"/>
    <w:rsid w:val="00082643"/>
    <w:rsid w:val="000839DB"/>
    <w:rsid w:val="000851CC"/>
    <w:rsid w:val="000A258F"/>
    <w:rsid w:val="000A4880"/>
    <w:rsid w:val="000C052A"/>
    <w:rsid w:val="000D2A43"/>
    <w:rsid w:val="000E3C85"/>
    <w:rsid w:val="001018DF"/>
    <w:rsid w:val="00105444"/>
    <w:rsid w:val="0010601F"/>
    <w:rsid w:val="0010795C"/>
    <w:rsid w:val="00112E18"/>
    <w:rsid w:val="00114B6A"/>
    <w:rsid w:val="00121305"/>
    <w:rsid w:val="00141448"/>
    <w:rsid w:val="001475DE"/>
    <w:rsid w:val="0015130F"/>
    <w:rsid w:val="00164583"/>
    <w:rsid w:val="00175D32"/>
    <w:rsid w:val="00185D0A"/>
    <w:rsid w:val="00191E60"/>
    <w:rsid w:val="0019710B"/>
    <w:rsid w:val="001B0755"/>
    <w:rsid w:val="001B4110"/>
    <w:rsid w:val="001B705B"/>
    <w:rsid w:val="001C2F6C"/>
    <w:rsid w:val="001C5CE9"/>
    <w:rsid w:val="001D1BF6"/>
    <w:rsid w:val="002043AF"/>
    <w:rsid w:val="0021013F"/>
    <w:rsid w:val="00214784"/>
    <w:rsid w:val="00217942"/>
    <w:rsid w:val="00221DCF"/>
    <w:rsid w:val="002420F4"/>
    <w:rsid w:val="00260F3F"/>
    <w:rsid w:val="00290099"/>
    <w:rsid w:val="002A3774"/>
    <w:rsid w:val="002A6EF6"/>
    <w:rsid w:val="002B70E2"/>
    <w:rsid w:val="002C2D71"/>
    <w:rsid w:val="002D0AB6"/>
    <w:rsid w:val="002E1047"/>
    <w:rsid w:val="002E6A70"/>
    <w:rsid w:val="002F0667"/>
    <w:rsid w:val="002F2FBB"/>
    <w:rsid w:val="002F38B3"/>
    <w:rsid w:val="00304706"/>
    <w:rsid w:val="00310B18"/>
    <w:rsid w:val="00317E78"/>
    <w:rsid w:val="00331B3F"/>
    <w:rsid w:val="00334AD3"/>
    <w:rsid w:val="00343A18"/>
    <w:rsid w:val="00343AA2"/>
    <w:rsid w:val="00350180"/>
    <w:rsid w:val="00354BB2"/>
    <w:rsid w:val="00356179"/>
    <w:rsid w:val="00361CA8"/>
    <w:rsid w:val="003661EB"/>
    <w:rsid w:val="00370039"/>
    <w:rsid w:val="0037486E"/>
    <w:rsid w:val="00377C86"/>
    <w:rsid w:val="00377FE8"/>
    <w:rsid w:val="0038621F"/>
    <w:rsid w:val="003875A3"/>
    <w:rsid w:val="003A3E47"/>
    <w:rsid w:val="003A73EF"/>
    <w:rsid w:val="003B31CA"/>
    <w:rsid w:val="003C58E2"/>
    <w:rsid w:val="003C6C36"/>
    <w:rsid w:val="003E6703"/>
    <w:rsid w:val="003F70FE"/>
    <w:rsid w:val="00402486"/>
    <w:rsid w:val="004067C0"/>
    <w:rsid w:val="00407820"/>
    <w:rsid w:val="004141B9"/>
    <w:rsid w:val="00422F7B"/>
    <w:rsid w:val="004430DF"/>
    <w:rsid w:val="00445E3C"/>
    <w:rsid w:val="00461897"/>
    <w:rsid w:val="00474FA7"/>
    <w:rsid w:val="004837C7"/>
    <w:rsid w:val="004A3F71"/>
    <w:rsid w:val="004B57FD"/>
    <w:rsid w:val="004B638A"/>
    <w:rsid w:val="004C321E"/>
    <w:rsid w:val="004C60B9"/>
    <w:rsid w:val="004C7205"/>
    <w:rsid w:val="004D0694"/>
    <w:rsid w:val="004E70DB"/>
    <w:rsid w:val="004F3110"/>
    <w:rsid w:val="00525831"/>
    <w:rsid w:val="00526719"/>
    <w:rsid w:val="00531E52"/>
    <w:rsid w:val="00537B4C"/>
    <w:rsid w:val="0054164C"/>
    <w:rsid w:val="00541E43"/>
    <w:rsid w:val="00551988"/>
    <w:rsid w:val="0055264E"/>
    <w:rsid w:val="00553681"/>
    <w:rsid w:val="0056282E"/>
    <w:rsid w:val="00563652"/>
    <w:rsid w:val="00570BCE"/>
    <w:rsid w:val="00572BA4"/>
    <w:rsid w:val="00587AD2"/>
    <w:rsid w:val="00590538"/>
    <w:rsid w:val="00596C3C"/>
    <w:rsid w:val="005B5A6B"/>
    <w:rsid w:val="005B7717"/>
    <w:rsid w:val="005C439D"/>
    <w:rsid w:val="005C719E"/>
    <w:rsid w:val="005D093E"/>
    <w:rsid w:val="005D0CA4"/>
    <w:rsid w:val="005D7107"/>
    <w:rsid w:val="005E49BD"/>
    <w:rsid w:val="005F1EBA"/>
    <w:rsid w:val="0061336B"/>
    <w:rsid w:val="00621866"/>
    <w:rsid w:val="0062673F"/>
    <w:rsid w:val="00626A33"/>
    <w:rsid w:val="00655E5F"/>
    <w:rsid w:val="00656006"/>
    <w:rsid w:val="00656ECC"/>
    <w:rsid w:val="006625AC"/>
    <w:rsid w:val="006655B1"/>
    <w:rsid w:val="00665E2A"/>
    <w:rsid w:val="0067157B"/>
    <w:rsid w:val="006767BB"/>
    <w:rsid w:val="00686E0A"/>
    <w:rsid w:val="00691662"/>
    <w:rsid w:val="00694DD5"/>
    <w:rsid w:val="006A08D7"/>
    <w:rsid w:val="006A286A"/>
    <w:rsid w:val="006A2D09"/>
    <w:rsid w:val="006B271B"/>
    <w:rsid w:val="006E6062"/>
    <w:rsid w:val="006F2CEF"/>
    <w:rsid w:val="006F767D"/>
    <w:rsid w:val="00700B6B"/>
    <w:rsid w:val="0071569B"/>
    <w:rsid w:val="00733AAC"/>
    <w:rsid w:val="00747E05"/>
    <w:rsid w:val="007510A3"/>
    <w:rsid w:val="0075384C"/>
    <w:rsid w:val="007569CA"/>
    <w:rsid w:val="007659B5"/>
    <w:rsid w:val="00766D17"/>
    <w:rsid w:val="007915B5"/>
    <w:rsid w:val="007936DA"/>
    <w:rsid w:val="00795931"/>
    <w:rsid w:val="007A01C0"/>
    <w:rsid w:val="007C3BF4"/>
    <w:rsid w:val="007D0A41"/>
    <w:rsid w:val="007D3353"/>
    <w:rsid w:val="008075E1"/>
    <w:rsid w:val="00815566"/>
    <w:rsid w:val="00834DE7"/>
    <w:rsid w:val="00853D21"/>
    <w:rsid w:val="00854E84"/>
    <w:rsid w:val="00855236"/>
    <w:rsid w:val="008560E2"/>
    <w:rsid w:val="008736BD"/>
    <w:rsid w:val="0087581E"/>
    <w:rsid w:val="008843AA"/>
    <w:rsid w:val="008920DF"/>
    <w:rsid w:val="008A0B64"/>
    <w:rsid w:val="008B062D"/>
    <w:rsid w:val="008B23D4"/>
    <w:rsid w:val="008E31D2"/>
    <w:rsid w:val="008E46BA"/>
    <w:rsid w:val="008E6B1A"/>
    <w:rsid w:val="008F3547"/>
    <w:rsid w:val="008F77A7"/>
    <w:rsid w:val="0090262B"/>
    <w:rsid w:val="00906583"/>
    <w:rsid w:val="0091288D"/>
    <w:rsid w:val="00920B45"/>
    <w:rsid w:val="0095674A"/>
    <w:rsid w:val="009576EC"/>
    <w:rsid w:val="009653FA"/>
    <w:rsid w:val="00965D87"/>
    <w:rsid w:val="0097401A"/>
    <w:rsid w:val="00987219"/>
    <w:rsid w:val="00987DD5"/>
    <w:rsid w:val="009A419A"/>
    <w:rsid w:val="009A4A26"/>
    <w:rsid w:val="009A6BB8"/>
    <w:rsid w:val="009B0E9E"/>
    <w:rsid w:val="009B2E48"/>
    <w:rsid w:val="009C2252"/>
    <w:rsid w:val="009C3C33"/>
    <w:rsid w:val="009C60EA"/>
    <w:rsid w:val="009E3611"/>
    <w:rsid w:val="009E70EF"/>
    <w:rsid w:val="009F4079"/>
    <w:rsid w:val="00A015E4"/>
    <w:rsid w:val="00A0740C"/>
    <w:rsid w:val="00A12843"/>
    <w:rsid w:val="00A16348"/>
    <w:rsid w:val="00A16AB2"/>
    <w:rsid w:val="00A3059E"/>
    <w:rsid w:val="00A37001"/>
    <w:rsid w:val="00A41E84"/>
    <w:rsid w:val="00A43ECD"/>
    <w:rsid w:val="00A457E4"/>
    <w:rsid w:val="00A47015"/>
    <w:rsid w:val="00A648DB"/>
    <w:rsid w:val="00A757B8"/>
    <w:rsid w:val="00A81AA1"/>
    <w:rsid w:val="00A85E54"/>
    <w:rsid w:val="00AA0A42"/>
    <w:rsid w:val="00AA13EF"/>
    <w:rsid w:val="00AA64B7"/>
    <w:rsid w:val="00AA7AE5"/>
    <w:rsid w:val="00AC1363"/>
    <w:rsid w:val="00AC2A5F"/>
    <w:rsid w:val="00AC6745"/>
    <w:rsid w:val="00AD3021"/>
    <w:rsid w:val="00AD6D43"/>
    <w:rsid w:val="00AE3947"/>
    <w:rsid w:val="00AE6E4B"/>
    <w:rsid w:val="00B00FDB"/>
    <w:rsid w:val="00B050E8"/>
    <w:rsid w:val="00B127E7"/>
    <w:rsid w:val="00B27804"/>
    <w:rsid w:val="00B32D01"/>
    <w:rsid w:val="00B368D9"/>
    <w:rsid w:val="00B52C5F"/>
    <w:rsid w:val="00B56492"/>
    <w:rsid w:val="00B74903"/>
    <w:rsid w:val="00BA0759"/>
    <w:rsid w:val="00BA2CDD"/>
    <w:rsid w:val="00BA3D9B"/>
    <w:rsid w:val="00BA76BC"/>
    <w:rsid w:val="00BB0BC2"/>
    <w:rsid w:val="00BB414C"/>
    <w:rsid w:val="00BE7F9D"/>
    <w:rsid w:val="00BF7E13"/>
    <w:rsid w:val="00C03087"/>
    <w:rsid w:val="00C102AD"/>
    <w:rsid w:val="00C1297D"/>
    <w:rsid w:val="00C1380C"/>
    <w:rsid w:val="00C1560A"/>
    <w:rsid w:val="00C166B7"/>
    <w:rsid w:val="00C326A6"/>
    <w:rsid w:val="00C3476C"/>
    <w:rsid w:val="00C50B3C"/>
    <w:rsid w:val="00C55346"/>
    <w:rsid w:val="00C57729"/>
    <w:rsid w:val="00C61496"/>
    <w:rsid w:val="00C62D7A"/>
    <w:rsid w:val="00C83C8A"/>
    <w:rsid w:val="00C84699"/>
    <w:rsid w:val="00C90066"/>
    <w:rsid w:val="00C924AF"/>
    <w:rsid w:val="00C93774"/>
    <w:rsid w:val="00CA1143"/>
    <w:rsid w:val="00CD4414"/>
    <w:rsid w:val="00CE02E7"/>
    <w:rsid w:val="00CE28B2"/>
    <w:rsid w:val="00CE3B7C"/>
    <w:rsid w:val="00CF2225"/>
    <w:rsid w:val="00CF442A"/>
    <w:rsid w:val="00CF67BE"/>
    <w:rsid w:val="00D02349"/>
    <w:rsid w:val="00D03119"/>
    <w:rsid w:val="00D04257"/>
    <w:rsid w:val="00D11162"/>
    <w:rsid w:val="00D167C9"/>
    <w:rsid w:val="00D175B9"/>
    <w:rsid w:val="00D350E3"/>
    <w:rsid w:val="00D405E3"/>
    <w:rsid w:val="00D4239B"/>
    <w:rsid w:val="00D516DD"/>
    <w:rsid w:val="00D66458"/>
    <w:rsid w:val="00D701A0"/>
    <w:rsid w:val="00D70ABE"/>
    <w:rsid w:val="00DA110D"/>
    <w:rsid w:val="00DA3F0F"/>
    <w:rsid w:val="00DA52FB"/>
    <w:rsid w:val="00DB17FC"/>
    <w:rsid w:val="00DB3BC8"/>
    <w:rsid w:val="00DB6311"/>
    <w:rsid w:val="00DC085D"/>
    <w:rsid w:val="00DC4F90"/>
    <w:rsid w:val="00DD2D9D"/>
    <w:rsid w:val="00DD3E85"/>
    <w:rsid w:val="00DD4245"/>
    <w:rsid w:val="00DE3421"/>
    <w:rsid w:val="00DF334E"/>
    <w:rsid w:val="00E0407B"/>
    <w:rsid w:val="00E10FDC"/>
    <w:rsid w:val="00E14F6B"/>
    <w:rsid w:val="00E220C0"/>
    <w:rsid w:val="00E25EE7"/>
    <w:rsid w:val="00E3598F"/>
    <w:rsid w:val="00E42957"/>
    <w:rsid w:val="00E43A7F"/>
    <w:rsid w:val="00E57CED"/>
    <w:rsid w:val="00E61181"/>
    <w:rsid w:val="00E626D3"/>
    <w:rsid w:val="00E63D88"/>
    <w:rsid w:val="00E6536F"/>
    <w:rsid w:val="00E83054"/>
    <w:rsid w:val="00EA148A"/>
    <w:rsid w:val="00EA172F"/>
    <w:rsid w:val="00EA1984"/>
    <w:rsid w:val="00EC53CE"/>
    <w:rsid w:val="00ED3DEE"/>
    <w:rsid w:val="00EF64E2"/>
    <w:rsid w:val="00F07663"/>
    <w:rsid w:val="00F21365"/>
    <w:rsid w:val="00F26E7B"/>
    <w:rsid w:val="00F37D49"/>
    <w:rsid w:val="00F55090"/>
    <w:rsid w:val="00F6095F"/>
    <w:rsid w:val="00F62DBB"/>
    <w:rsid w:val="00F65B10"/>
    <w:rsid w:val="00F75F68"/>
    <w:rsid w:val="00F86630"/>
    <w:rsid w:val="00FA25DB"/>
    <w:rsid w:val="00FA4C4C"/>
    <w:rsid w:val="00FB04C4"/>
    <w:rsid w:val="00FD6BED"/>
    <w:rsid w:val="00FE2171"/>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461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F38B3"/>
    <w:rPr>
      <w:rFonts w:ascii="Times New Roman" w:eastAsia="Times New Roman" w:hAnsi="Times New Roman" w:cs="Times New Roman"/>
      <w:sz w:val="20"/>
      <w:szCs w:val="24"/>
      <w:lang w:val="en-US"/>
    </w:rPr>
  </w:style>
  <w:style w:type="paragraph" w:customStyle="1" w:styleId="3GPPHeader">
    <w:name w:val="3GPP_Header"/>
    <w:basedOn w:val="Normal"/>
    <w:rsid w:val="00DA3F0F"/>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E1979-A9D9-495C-9482-D8ACBE1B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Stefan Parkvall</cp:lastModifiedBy>
  <cp:revision>2</cp:revision>
  <cp:lastPrinted>2017-05-05T11:24:00Z</cp:lastPrinted>
  <dcterms:created xsi:type="dcterms:W3CDTF">2017-06-16T15:14:00Z</dcterms:created>
  <dcterms:modified xsi:type="dcterms:W3CDTF">2017-06-16T15:14:00Z</dcterms:modified>
</cp:coreProperties>
</file>